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86" w:rsidRDefault="00493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учреждение науки Институт ядерной физики им. Г.И. Будкера СО РАН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РАН).</w:t>
      </w:r>
    </w:p>
    <w:p w:rsidR="002F6E86" w:rsidRDefault="002F6E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F6E86" w:rsidRDefault="004D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ОПИСАНИЕ РОЖДЕНИЯ</w:t>
      </w:r>
      <w:bookmarkStart w:id="0" w:name="_GoBack"/>
      <w:bookmarkEnd w:id="0"/>
      <w:r w:rsidR="00493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b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(*)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b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Cambria Math" w:hAnsi="Cambria Math" w:cs="Cambria Math"/>
                    <w:b/>
                    <w:i/>
                    <w:color w:val="222222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222222"/>
                    <w:sz w:val="24"/>
                    <w:szCs w:val="24"/>
                    <w:lang w:eastAsia="ru-RU"/>
                  </w:rPr>
                  <m:t>D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(*)</m:t>
            </m:r>
          </m:sup>
        </m:sSup>
      </m:oMath>
      <w:r w:rsidR="00493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ВБЛИЗИ ПОРОГОВ В </w:t>
      </w:r>
      <m:oMath>
        <m:sSup>
          <m:sSupPr>
            <m:ctrlPr>
              <w:rPr>
                <w:rFonts w:ascii="Cambria Math" w:eastAsia="Cambria Math" w:hAnsi="Cambria Math" w:cs="Cambria Math"/>
                <w:b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b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 w:rsidR="00493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АННИГИЛЯЦИИ</w:t>
      </w:r>
    </w:p>
    <w:p w:rsidR="002F6E86" w:rsidRDefault="002F6E8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E86" w:rsidRDefault="00493A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С.Г. Сальников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(+7(383)329-40-06, </w:t>
      </w:r>
      <w:hyperlink r:id="rId7" w:history="1">
        <w:r w:rsidR="0011067B" w:rsidRPr="00C45383">
          <w:rPr>
            <w:rStyle w:val="aff"/>
            <w:rFonts w:ascii="Times New Roman" w:eastAsia="Calibri" w:hAnsi="Times New Roman" w:cs="Times New Roman"/>
            <w:b/>
            <w:sz w:val="24"/>
            <w:szCs w:val="24"/>
          </w:rPr>
          <w:t>S.G.Salnikov@inp.nsk.su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1106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А.И. Мильштейн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(+(383)329-47-00, A.I.Milstein@inp.nsk.su)</w:t>
      </w:r>
    </w:p>
    <w:p w:rsidR="002F6E86" w:rsidRDefault="002F6E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E86" w:rsidRDefault="00493A15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color w:val="000000"/>
        </w:rPr>
        <w:t>Публикация</w:t>
      </w:r>
      <w:r w:rsidRPr="0011067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S</w:t>
      </w:r>
      <w:r w:rsidRPr="0011067B"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G</w:t>
      </w:r>
      <w:r w:rsidRPr="0011067B">
        <w:rPr>
          <w:rFonts w:ascii="Times New Roman" w:hAnsi="Times New Roman" w:cs="Times New Roman"/>
          <w:i/>
          <w:iCs/>
          <w:color w:val="000000"/>
        </w:rPr>
        <w:t>.</w:t>
      </w:r>
      <w:r w:rsidRPr="001106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Salnikov</w:t>
      </w:r>
      <w:r w:rsidRPr="0011067B"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A</w:t>
      </w:r>
      <w:r w:rsidRPr="0011067B"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I</w:t>
      </w:r>
      <w:r w:rsidRPr="0011067B"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>Milstein</w:t>
      </w:r>
      <w:r w:rsidRPr="0011067B"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lang w:val="en-US"/>
        </w:rPr>
        <w:t xml:space="preserve">Production of </w:t>
      </w:r>
      <m:oMath>
        <m:sSup>
          <m:sSup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(*)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i/>
                <w:color w:val="000000"/>
                <w:lang w:val="en-US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Cambria Math" w:hAnsi="Cambria Math" w:cs="Cambria Math"/>
                    <w:i/>
                    <w:color w:val="000000"/>
                    <w:lang w:val="en-US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color w:val="000000"/>
                    <w:lang w:val="en-US"/>
                  </w:rPr>
                  <m:t>D</m:t>
                </m:r>
              </m:e>
            </m:acc>
          </m:e>
          <m:sup>
            <m:r>
              <w:rPr>
                <w:rFonts w:ascii="Cambria Math" w:eastAsia="Cambria Math" w:hAnsi="Cambria Math" w:cs="Cambria Math"/>
                <w:color w:val="000000"/>
                <w:lang w:val="en-US"/>
              </w:rPr>
              <m:t>(*)</m:t>
            </m:r>
          </m:sup>
        </m:sSup>
      </m:oMath>
      <w:r>
        <w:rPr>
          <w:rFonts w:ascii="Times New Roman" w:hAnsi="Times New Roman" w:cs="Times New Roman"/>
          <w:i/>
          <w:iCs/>
          <w:color w:val="000000"/>
          <w:lang w:val="en-US"/>
        </w:rPr>
        <w:t xml:space="preserve"> near the thresholds in </w:t>
      </w:r>
      <m:oMath>
        <m:sSup>
          <m:sSupPr>
            <m:ctrlPr>
              <w:rPr>
                <w:rFonts w:ascii="Cambria Math" w:eastAsia="Cambria Math" w:hAnsi="Cambria Math" w:cs="Cambria Math"/>
                <w:b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val="en-US" w:eastAsia="ru-RU"/>
              </w:rPr>
              <m:t>+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b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val="en-US" w:eastAsia="ru-RU"/>
              </w:rPr>
              <m:t>-</m:t>
            </m:r>
          </m:sup>
        </m:sSup>
      </m:oMath>
      <w:r>
        <w:rPr>
          <w:rFonts w:ascii="Times New Roman" w:hAnsi="Times New Roman" w:cs="Times New Roman"/>
          <w:i/>
          <w:iCs/>
          <w:color w:val="000000"/>
          <w:lang w:val="en-US"/>
        </w:rPr>
        <w:t xml:space="preserve"> annihilation // </w:t>
      </w:r>
      <w:r>
        <w:rPr>
          <w:rFonts w:ascii="Times New Roman" w:hAnsi="Times New Roman" w:cs="Times New Roman"/>
          <w:bCs/>
          <w:i/>
          <w:iCs/>
          <w:color w:val="000000"/>
          <w:lang w:val="en-US"/>
        </w:rPr>
        <w:t>Phys. Rev. D. 2024. Vol</w:t>
      </w:r>
      <w:r w:rsidRPr="0011067B">
        <w:rPr>
          <w:rFonts w:ascii="Times New Roman" w:hAnsi="Times New Roman" w:cs="Times New Roman"/>
          <w:bCs/>
          <w:i/>
          <w:iCs/>
          <w:color w:val="000000"/>
        </w:rPr>
        <w:t xml:space="preserve">. 109, </w:t>
      </w:r>
      <w:r>
        <w:rPr>
          <w:rFonts w:ascii="Times New Roman" w:hAnsi="Times New Roman" w:cs="Times New Roman"/>
          <w:bCs/>
          <w:i/>
          <w:iCs/>
          <w:color w:val="000000"/>
          <w:lang w:val="en-US"/>
        </w:rPr>
        <w:t>P</w:t>
      </w:r>
      <w:r w:rsidRPr="0011067B">
        <w:rPr>
          <w:rFonts w:ascii="Times New Roman" w:hAnsi="Times New Roman" w:cs="Times New Roman"/>
          <w:bCs/>
          <w:i/>
          <w:iCs/>
          <w:color w:val="000000"/>
        </w:rPr>
        <w:t xml:space="preserve">. 114015. </w:t>
      </w:r>
      <w:r>
        <w:rPr>
          <w:rFonts w:ascii="Times New Roman" w:hAnsi="Times New Roman" w:cs="Times New Roman"/>
          <w:bCs/>
          <w:i/>
          <w:iCs/>
          <w:color w:val="000000"/>
          <w:lang w:val="en-US"/>
        </w:rPr>
        <w:t>DOI</w:t>
      </w:r>
      <w:r w:rsidRPr="0011067B">
        <w:rPr>
          <w:rFonts w:ascii="Times New Roman" w:hAnsi="Times New Roman" w:cs="Times New Roman"/>
          <w:bCs/>
          <w:i/>
          <w:iCs/>
          <w:color w:val="000000"/>
        </w:rPr>
        <w:t>: 10.1103/</w:t>
      </w:r>
      <w:r>
        <w:rPr>
          <w:rFonts w:ascii="Times New Roman" w:hAnsi="Times New Roman" w:cs="Times New Roman"/>
          <w:bCs/>
          <w:i/>
          <w:iCs/>
          <w:color w:val="000000"/>
          <w:lang w:val="en-US"/>
        </w:rPr>
        <w:t>PhysRevD</w:t>
      </w:r>
      <w:r w:rsidRPr="0011067B">
        <w:rPr>
          <w:rFonts w:ascii="Times New Roman" w:hAnsi="Times New Roman" w:cs="Times New Roman"/>
          <w:bCs/>
          <w:i/>
          <w:iCs/>
          <w:color w:val="000000"/>
        </w:rPr>
        <w:t xml:space="preserve">.109.114015, </w:t>
      </w:r>
      <w:r>
        <w:rPr>
          <w:rFonts w:ascii="Times New Roman" w:hAnsi="Times New Roman" w:cs="Times New Roman"/>
          <w:bCs/>
          <w:i/>
          <w:iCs/>
          <w:color w:val="000000"/>
        </w:rPr>
        <w:t>импакт</w:t>
      </w:r>
      <w:r w:rsidRPr="0011067B">
        <w:rPr>
          <w:rFonts w:ascii="Times New Roman" w:hAnsi="Times New Roman" w:cs="Times New Roman"/>
          <w:bCs/>
          <w:i/>
          <w:iCs/>
          <w:color w:val="000000"/>
        </w:rPr>
        <w:t>-</w:t>
      </w:r>
      <w:r>
        <w:rPr>
          <w:rFonts w:ascii="Times New Roman" w:hAnsi="Times New Roman" w:cs="Times New Roman"/>
          <w:bCs/>
          <w:i/>
          <w:iCs/>
          <w:color w:val="000000"/>
        </w:rPr>
        <w:t>фактор </w:t>
      </w:r>
      <w:r w:rsidRPr="0011067B">
        <w:rPr>
          <w:rFonts w:ascii="Times New Roman" w:hAnsi="Times New Roman" w:cs="Times New Roman"/>
          <w:bCs/>
          <w:i/>
          <w:iCs/>
          <w:color w:val="000000"/>
        </w:rPr>
        <w:t>4.6.</w:t>
      </w:r>
    </w:p>
    <w:p w:rsidR="002F6E86" w:rsidRDefault="00493A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Показано, что нетривиальная зависимость от энергии сечений рождения пар </w:t>
      </w:r>
      <m:oMath>
        <m:r>
          <w:rPr>
            <w:rFonts w:ascii="Cambria Math" w:eastAsia="Cambria Math" w:hAnsi="Cambria Math" w:cs="Cambria Math"/>
            <w:color w:val="222222"/>
            <w:sz w:val="24"/>
            <w:szCs w:val="24"/>
            <w:lang w:eastAsia="ru-RU"/>
          </w:rPr>
          <m:t>D</m:t>
        </m:r>
        <m:acc>
          <m:accPr>
            <m:chr m:val="̅"/>
            <m:ctrlPr>
              <w:rPr>
                <w:rFonts w:ascii="Cambria Math" w:eastAsia="Cambria Math" w:hAnsi="Cambria Math" w:cs="Cambria Math"/>
                <w:i/>
                <w:color w:val="222222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D</m:t>
            </m:r>
          </m:e>
        </m:acc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Cambria Math" w:hAnsi="Cambria Math" w:cs="Cambria Math"/>
            <w:color w:val="222222"/>
            <w:sz w:val="24"/>
            <w:szCs w:val="24"/>
            <w:lang w:eastAsia="ru-RU"/>
          </w:rPr>
          <m:t>D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Cambria Math" w:hAnsi="Cambria Math" w:cs="Cambria Math"/>
                    <w:i/>
                    <w:color w:val="222222"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color w:val="222222"/>
                    <w:sz w:val="24"/>
                    <w:szCs w:val="24"/>
                    <w:lang w:eastAsia="ru-RU"/>
                  </w:rPr>
                  <m:t>D</m:t>
                </m:r>
              </m:e>
            </m:acc>
          </m:e>
          <m:sup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*</m:t>
            </m:r>
          </m:sup>
        </m:sSup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m:oMath>
        <m:sSup>
          <m:sSupPr>
            <m:ctrlPr>
              <w:rPr>
                <w:rFonts w:ascii="Cambria Math" w:eastAsia="Cambria Math" w:hAnsi="Cambria Math" w:cs="Cambria Math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*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Cambria Math" w:hAnsi="Cambria Math" w:cs="Cambria Math"/>
                    <w:i/>
                    <w:color w:val="222222"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color w:val="222222"/>
                    <w:sz w:val="24"/>
                    <w:szCs w:val="24"/>
                    <w:lang w:eastAsia="ru-RU"/>
                  </w:rPr>
                  <m:t>D</m:t>
                </m:r>
              </m:e>
            </m:acc>
          </m:e>
          <m:sup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*</m:t>
            </m:r>
          </m:sup>
        </m:sSup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m:oMath>
        <m:sSup>
          <m:sSupPr>
            <m:ctrlPr>
              <w:rPr>
                <w:rFonts w:ascii="Cambria Math" w:eastAsia="Cambria Math" w:hAnsi="Cambria Math" w:cs="Cambria Math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i/>
                <w:color w:val="222222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color w:val="222222"/>
                <w:sz w:val="24"/>
                <w:szCs w:val="24"/>
                <w:lang w:eastAsia="ru-RU"/>
              </w:rPr>
              <m:t>-</m:t>
            </m:r>
          </m:sup>
        </m:sSup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-аннигиляции  вблизи порогов этих реакций хорошо описывается в рамках подхода, основанного на учёте взаимодействия в конечном состоянии. Этот подход позволил нам описать как сечения рождения пар нейтральных мезонов, так и сечения рождения пар заряженных мезонов: см. рисунок 1. Важнейшую роль в описании сечений этих процессов играет учёт переходов между всеми возможными каналами реакции. Именно благодаря возможности переходов между каналами проявляется нетривиальная зависимость сечений от энергии: появляются характерные пики и провалы вблизи порогов. В работе учитывалось как сильное взаимодействие между мезонами, так, в случае заряженных частиц, и кулоновское взаимодействие между ними. Кроме того, была учтена ненулевая разница масс между заряженными и нейтральными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-мезонами. Взаимодействие между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-мезонами описывалось с помощью эффективного потенциала, параметры которого подбирались для наилучшего описания экспериментальных данных.</w:t>
      </w:r>
    </w:p>
    <w:p w:rsidR="002F6E86" w:rsidRDefault="00493A15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4346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466973" cy="164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2343150" cy="1685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90558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343150" cy="1685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E86" w:rsidRPr="0011067B" w:rsidRDefault="00493A15">
      <w:pPr>
        <w:spacing w:line="276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lang w:eastAsia="ru-RU"/>
        </w:rPr>
        <w:t>Рисунок 1 – Сравнение предсказаний нашей модели с экспериментальными данными с детекторов BaBar, Belle, CLEO и BESIII. Слева показана зависимость от энергии сечения процесса</w:t>
      </w:r>
      <w:r>
        <w:rPr>
          <w:rFonts w:ascii="Times New Roman" w:hAnsi="Times New Roman" w:cs="Times New Roman"/>
          <w:lang w:eastAsia="ru-RU"/>
        </w:rPr>
        <w:br/>
      </w:r>
      <m:oMath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lang w:eastAsia="ru-RU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lang w:eastAsia="ru-RU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-</m:t>
            </m:r>
          </m:sup>
        </m:sSup>
        <m:r>
          <w:rPr>
            <w:rFonts w:ascii="Cambria Math" w:eastAsia="Cambria Math" w:hAnsi="Cambria Math" w:cs="Cambria Math"/>
            <w:lang w:eastAsia="ru-RU"/>
          </w:rPr>
          <m:t>→</m:t>
        </m:r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lang w:eastAsia="ru-RU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="Cambria Math" w:hAnsi="Cambria Math" w:cs="Cambria Math"/>
                    <w:i/>
                    <w:lang w:eastAsia="ru-RU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lang w:eastAsia="ru-RU"/>
                  </w:rPr>
                  <m:t>D</m:t>
                </m:r>
              </m:e>
            </m:acc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0</m:t>
            </m:r>
          </m:sup>
        </m:sSup>
      </m:oMath>
      <w:r>
        <w:rPr>
          <w:rFonts w:ascii="Times New Roman" w:hAnsi="Times New Roman" w:cs="Times New Roman"/>
          <w:lang w:eastAsia="ru-RU"/>
        </w:rPr>
        <w:t xml:space="preserve">, а справа — сечения процесса </w:t>
      </w:r>
      <m:oMath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lang w:eastAsia="ru-RU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lang w:eastAsia="ru-RU"/>
              </w:rPr>
              <m:t>e</m:t>
            </m:r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-</m:t>
            </m:r>
          </m:sup>
        </m:sSup>
        <m:r>
          <w:rPr>
            <w:rFonts w:ascii="Cambria Math" w:eastAsia="Cambria Math" w:hAnsi="Cambria Math" w:cs="Cambria Math"/>
            <w:lang w:eastAsia="ru-RU"/>
          </w:rPr>
          <m:t>→</m:t>
        </m:r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lang w:eastAsia="ru-RU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+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i/>
                <w:lang w:eastAsia="ru-RU"/>
              </w:rPr>
            </m:ctrlPr>
          </m:sSupPr>
          <m:e>
            <m:r>
              <w:rPr>
                <w:rFonts w:ascii="Cambria Math" w:eastAsia="Cambria Math" w:hAnsi="Cambria Math" w:cs="Cambria Math"/>
                <w:lang w:eastAsia="ru-RU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  <w:lang w:eastAsia="ru-RU"/>
              </w:rPr>
              <m:t>-</m:t>
            </m:r>
          </m:sup>
        </m:sSup>
      </m:oMath>
      <w:r>
        <w:t>.</w:t>
      </w:r>
    </w:p>
    <w:p w:rsidR="002F6E86" w:rsidRDefault="002F6E86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2F6E86" w:rsidRDefault="00493A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ПФНИ 1.3.3.1. (</w:t>
      </w:r>
      <w:r>
        <w:rPr>
          <w:rFonts w:ascii="Times New Roman" w:hAnsi="Times New Roman" w:cs="Times New Roman"/>
          <w:sz w:val="24"/>
          <w:szCs w:val="24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2F6E86" w:rsidRDefault="00493A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задание, FWGM-2022-0004 «РАЗВИТИЕ И ПРИМЕНЕНИЕ МЕТОДОВ ТЕОРЕТИЧЕСКОЙ ФИЗИКИ В ФЭЧ И КОСМОЛОГИИ»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F6E86">
      <w:pgSz w:w="11906" w:h="16838"/>
      <w:pgMar w:top="1134" w:right="850" w:bottom="1134" w:left="1701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05" w:rsidRDefault="00E67F05">
      <w:pPr>
        <w:spacing w:after="0" w:line="240" w:lineRule="auto"/>
      </w:pPr>
      <w:r>
        <w:separator/>
      </w:r>
    </w:p>
  </w:endnote>
  <w:endnote w:type="continuationSeparator" w:id="0">
    <w:p w:rsidR="00E67F05" w:rsidRDefault="00E6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05" w:rsidRDefault="00E67F05">
      <w:pPr>
        <w:spacing w:after="0" w:line="240" w:lineRule="auto"/>
      </w:pPr>
      <w:r>
        <w:separator/>
      </w:r>
    </w:p>
  </w:footnote>
  <w:footnote w:type="continuationSeparator" w:id="0">
    <w:p w:rsidR="00E67F05" w:rsidRDefault="00E67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86"/>
    <w:rsid w:val="0011067B"/>
    <w:rsid w:val="002F6E86"/>
    <w:rsid w:val="00493A15"/>
    <w:rsid w:val="004D529D"/>
    <w:rsid w:val="00E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50776-D94A-4F75-AAC7-EE534510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character" w:customStyle="1" w:styleId="InternetLink">
    <w:name w:val="Internet Link"/>
    <w:basedOn w:val="a0"/>
    <w:uiPriority w:val="99"/>
    <w:unhideWhenUsed/>
    <w:qFormat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">
    <w:name w:val="Internet Link1"/>
    <w:basedOn w:val="a0"/>
    <w:uiPriority w:val="99"/>
    <w:unhideWhenUsed/>
    <w:qFormat/>
    <w:rPr>
      <w:color w:val="0563C1" w:themeColor="hyperlink"/>
      <w:u w:val="single"/>
    </w:rPr>
  </w:style>
  <w:style w:type="character" w:styleId="aff">
    <w:name w:val="Hyperlink"/>
    <w:rPr>
      <w:color w:val="000080"/>
      <w:u w:val="single"/>
    </w:rPr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ff1">
    <w:name w:val="Body Text"/>
    <w:basedOn w:val="a"/>
    <w:pPr>
      <w:spacing w:after="140" w:line="276" w:lineRule="auto"/>
    </w:pPr>
  </w:style>
  <w:style w:type="paragraph" w:styleId="aff2">
    <w:name w:val="List"/>
    <w:basedOn w:val="aff1"/>
    <w:rPr>
      <w:rFonts w:cs="Lohit Devanagari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aff6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.G.Salnikov@inp.nsk.s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F074-591F-4930-A541-8049E0D5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BINP SB RAS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17</cp:revision>
  <dcterms:created xsi:type="dcterms:W3CDTF">2024-11-13T08:50:00Z</dcterms:created>
  <dcterms:modified xsi:type="dcterms:W3CDTF">2024-11-25T12:15:00Z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